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72" w:rsidRPr="00A92072" w:rsidRDefault="00A92072" w:rsidP="00A92072">
      <w:pPr>
        <w:numPr>
          <w:ilvl w:val="0"/>
          <w:numId w:val="1"/>
        </w:numPr>
        <w:bidi/>
        <w:spacing w:before="100" w:beforeAutospacing="1" w:after="100" w:afterAutospacing="1" w:line="240" w:lineRule="auto"/>
        <w:jc w:val="both"/>
        <w:rPr>
          <w:rFonts w:ascii="Times New Roman" w:eastAsia="Times New Roman" w:hAnsi="Times New Roman" w:cs="Times New Roman"/>
          <w:sz w:val="32"/>
          <w:szCs w:val="32"/>
        </w:rPr>
      </w:pPr>
      <w:r w:rsidRPr="00A92072">
        <w:rPr>
          <w:rFonts w:ascii="Times New Roman" w:eastAsia="Times New Roman" w:hAnsi="Times New Roman" w:cs="Times New Roman"/>
          <w:color w:val="008000"/>
          <w:sz w:val="32"/>
          <w:szCs w:val="32"/>
          <w:rtl/>
        </w:rPr>
        <w:t>نوع مصوبه: ابلاغیه</w:t>
      </w:r>
      <w:r>
        <w:rPr>
          <w:rFonts w:ascii="Times New Roman" w:eastAsia="Times New Roman" w:hAnsi="Times New Roman" w:cs="Times New Roman"/>
          <w:color w:val="008000"/>
          <w:sz w:val="32"/>
          <w:szCs w:val="32"/>
        </w:rPr>
        <w:t xml:space="preserve">         </w:t>
      </w:r>
      <w:r w:rsidRPr="00A92072">
        <w:rPr>
          <w:rFonts w:ascii="Times New Roman" w:eastAsia="Times New Roman" w:hAnsi="Times New Roman" w:cs="Times New Roman"/>
          <w:color w:val="008000"/>
          <w:sz w:val="32"/>
          <w:szCs w:val="32"/>
          <w:rtl/>
        </w:rPr>
        <w:t xml:space="preserve">شماره مصوبه: </w:t>
      </w:r>
      <w:r w:rsidRPr="00A92072">
        <w:rPr>
          <w:rFonts w:ascii="Times New Roman" w:eastAsia="Times New Roman" w:hAnsi="Times New Roman" w:cs="Times New Roman"/>
          <w:color w:val="008000"/>
          <w:sz w:val="32"/>
          <w:szCs w:val="32"/>
          <w:rtl/>
          <w:lang w:bidi="fa-IR"/>
        </w:rPr>
        <w:t>۳۶۱۰/۱۳۳۳/۲۸</w:t>
      </w:r>
      <w:r w:rsidRPr="00A92072">
        <w:rPr>
          <w:rFonts w:ascii="Times New Roman" w:eastAsia="Times New Roman" w:hAnsi="Times New Roman" w:cs="Times New Roman"/>
          <w:color w:val="008000"/>
          <w:sz w:val="32"/>
          <w:szCs w:val="32"/>
          <w:lang w:bidi="fa-IR"/>
        </w:rPr>
        <w:t xml:space="preserve">        </w:t>
      </w:r>
      <w:r w:rsidRPr="00A92072">
        <w:rPr>
          <w:rFonts w:ascii="Times New Roman" w:eastAsia="Times New Roman" w:hAnsi="Times New Roman" w:cs="Times New Roman"/>
          <w:color w:val="008000"/>
          <w:sz w:val="32"/>
          <w:szCs w:val="32"/>
          <w:rtl/>
        </w:rPr>
        <w:t xml:space="preserve">تاریخ مصوبه: </w:t>
      </w:r>
      <w:r w:rsidRPr="00A92072">
        <w:rPr>
          <w:rFonts w:ascii="Times New Roman" w:eastAsia="Times New Roman" w:hAnsi="Times New Roman" w:cs="Times New Roman"/>
          <w:color w:val="008000"/>
          <w:sz w:val="32"/>
          <w:szCs w:val="32"/>
          <w:rtl/>
          <w:lang w:bidi="fa-IR"/>
        </w:rPr>
        <w:t>۹۶/۹/۲۸</w:t>
      </w:r>
    </w:p>
    <w:p w:rsidR="00A92072" w:rsidRPr="00A92072" w:rsidRDefault="00A92072" w:rsidP="00A92072">
      <w:pPr>
        <w:numPr>
          <w:ilvl w:val="0"/>
          <w:numId w:val="1"/>
        </w:numPr>
        <w:bidi/>
        <w:spacing w:before="100" w:beforeAutospacing="1" w:after="100" w:afterAutospacing="1" w:line="240" w:lineRule="auto"/>
        <w:jc w:val="both"/>
        <w:rPr>
          <w:rFonts w:ascii="Times New Roman" w:eastAsia="Times New Roman" w:hAnsi="Times New Roman" w:cs="Times New Roman"/>
          <w:sz w:val="32"/>
          <w:szCs w:val="32"/>
        </w:rPr>
      </w:pPr>
      <w:r w:rsidRPr="00A92072">
        <w:rPr>
          <w:rFonts w:ascii="Times New Roman" w:eastAsia="Times New Roman" w:hAnsi="Times New Roman" w:cs="Times New Roman"/>
          <w:color w:val="008000"/>
          <w:sz w:val="32"/>
          <w:szCs w:val="32"/>
          <w:rtl/>
        </w:rPr>
        <w:t>مرجع صدور مصوبه: ستاد کل نیروهای مسلح</w:t>
      </w:r>
    </w:p>
    <w:p w:rsidR="00A92072" w:rsidRPr="00A92072" w:rsidRDefault="00A92072" w:rsidP="00A92072">
      <w:pPr>
        <w:numPr>
          <w:ilvl w:val="0"/>
          <w:numId w:val="1"/>
        </w:numPr>
        <w:bidi/>
        <w:spacing w:before="100" w:beforeAutospacing="1" w:after="100" w:afterAutospacing="1" w:line="240" w:lineRule="auto"/>
        <w:jc w:val="both"/>
        <w:rPr>
          <w:rFonts w:ascii="Times New Roman" w:eastAsia="Times New Roman" w:hAnsi="Times New Roman" w:cs="Times New Roman"/>
          <w:sz w:val="32"/>
          <w:szCs w:val="32"/>
        </w:rPr>
      </w:pPr>
      <w:r w:rsidRPr="00A92072">
        <w:rPr>
          <w:rFonts w:ascii="Times New Roman" w:eastAsia="Times New Roman" w:hAnsi="Times New Roman" w:cs="Times New Roman"/>
          <w:color w:val="008000"/>
          <w:sz w:val="32"/>
          <w:szCs w:val="32"/>
          <w:rtl/>
        </w:rPr>
        <w:t>عنوان و لینک دانلود مصوبه</w:t>
      </w:r>
      <w:r w:rsidRPr="00A92072">
        <w:rPr>
          <w:rFonts w:ascii="Times New Roman" w:eastAsia="Times New Roman" w:hAnsi="Times New Roman" w:cs="Times New Roman"/>
          <w:color w:val="008000"/>
          <w:sz w:val="32"/>
          <w:szCs w:val="32"/>
        </w:rPr>
        <w:t xml:space="preserve">: </w:t>
      </w:r>
      <w:hyperlink r:id="rId5" w:history="1">
        <w:r w:rsidRPr="00A92072">
          <w:rPr>
            <w:rFonts w:ascii="Times New Roman" w:eastAsia="Times New Roman" w:hAnsi="Times New Roman" w:cs="Times New Roman"/>
            <w:b/>
            <w:bCs/>
            <w:color w:val="FF6600"/>
            <w:sz w:val="20"/>
            <w:szCs w:val="20"/>
            <w:u w:val="single"/>
            <w:rtl/>
          </w:rPr>
          <w:t xml:space="preserve">تعیین مناطق جنگی و عملیاتی ستاد کل نیروهای مسلح موضوع ماده </w:t>
        </w:r>
        <w:r w:rsidRPr="00A92072">
          <w:rPr>
            <w:rFonts w:ascii="Times New Roman" w:eastAsia="Times New Roman" w:hAnsi="Times New Roman" w:cs="Times New Roman"/>
            <w:b/>
            <w:bCs/>
            <w:color w:val="FF6600"/>
            <w:sz w:val="20"/>
            <w:szCs w:val="20"/>
            <w:u w:val="single"/>
            <w:rtl/>
            <w:lang w:bidi="fa-IR"/>
          </w:rPr>
          <w:t>۱۱۲</w:t>
        </w:r>
        <w:r w:rsidRPr="00A92072">
          <w:rPr>
            <w:rFonts w:ascii="Times New Roman" w:eastAsia="Times New Roman" w:hAnsi="Times New Roman" w:cs="Times New Roman"/>
            <w:b/>
            <w:bCs/>
            <w:color w:val="FF6600"/>
            <w:sz w:val="20"/>
            <w:szCs w:val="20"/>
            <w:u w:val="single"/>
            <w:rtl/>
          </w:rPr>
          <w:t xml:space="preserve"> قانون برنامه ششم</w:t>
        </w:r>
      </w:hyperlink>
    </w:p>
    <w:p w:rsidR="00A92072" w:rsidRPr="00A92072" w:rsidRDefault="00A92072" w:rsidP="00A92072">
      <w:p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جناب آقای دکتر نوبخت</w:t>
      </w:r>
    </w:p>
    <w:p w:rsidR="00A92072" w:rsidRPr="00A92072" w:rsidRDefault="00A92072" w:rsidP="00A92072">
      <w:p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رئیس محترم سازمان برنامه و بودجه کشور</w:t>
      </w:r>
    </w:p>
    <w:p w:rsidR="00A92072" w:rsidRPr="00A92072" w:rsidRDefault="00A92072" w:rsidP="00A92072">
      <w:p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 xml:space="preserve">موضوع : ماده </w:t>
      </w:r>
      <w:r w:rsidRPr="00A92072">
        <w:rPr>
          <w:rFonts w:ascii="Times New Roman" w:eastAsia="Times New Roman" w:hAnsi="Times New Roman" w:cs="Times New Roman"/>
          <w:sz w:val="28"/>
          <w:szCs w:val="28"/>
          <w:rtl/>
          <w:lang w:bidi="fa-IR"/>
        </w:rPr>
        <w:t>۱۱۲</w:t>
      </w:r>
      <w:r w:rsidRPr="00A92072">
        <w:rPr>
          <w:rFonts w:ascii="Times New Roman" w:eastAsia="Times New Roman" w:hAnsi="Times New Roman" w:cs="Times New Roman"/>
          <w:sz w:val="28"/>
          <w:szCs w:val="28"/>
          <w:rtl/>
        </w:rPr>
        <w:t xml:space="preserve"> قانون برنامه ششم توسعه کشور</w:t>
      </w:r>
    </w:p>
    <w:p w:rsidR="00A92072" w:rsidRPr="00A92072" w:rsidRDefault="00A92072" w:rsidP="00A92072">
      <w:p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 xml:space="preserve">در راستای اجرای بند الف ماده </w:t>
      </w:r>
      <w:r w:rsidRPr="00A92072">
        <w:rPr>
          <w:rFonts w:ascii="Times New Roman" w:eastAsia="Times New Roman" w:hAnsi="Times New Roman" w:cs="Times New Roman"/>
          <w:sz w:val="28"/>
          <w:szCs w:val="28"/>
          <w:rtl/>
          <w:lang w:bidi="fa-IR"/>
        </w:rPr>
        <w:t>۱۱۲</w:t>
      </w:r>
      <w:r w:rsidRPr="00A92072">
        <w:rPr>
          <w:rFonts w:ascii="Times New Roman" w:eastAsia="Times New Roman" w:hAnsi="Times New Roman" w:cs="Times New Roman"/>
          <w:sz w:val="28"/>
          <w:szCs w:val="28"/>
          <w:rtl/>
        </w:rPr>
        <w:t xml:space="preserve"> قانون برنامه </w:t>
      </w:r>
      <w:r w:rsidRPr="00A92072">
        <w:rPr>
          <w:rFonts w:ascii="Times New Roman" w:eastAsia="Times New Roman" w:hAnsi="Times New Roman" w:cs="Times New Roman"/>
          <w:sz w:val="28"/>
          <w:szCs w:val="28"/>
          <w:rtl/>
          <w:lang w:bidi="fa-IR"/>
        </w:rPr>
        <w:t>۵</w:t>
      </w:r>
      <w:r w:rsidRPr="00A92072">
        <w:rPr>
          <w:rFonts w:ascii="Times New Roman" w:eastAsia="Times New Roman" w:hAnsi="Times New Roman" w:cs="Times New Roman"/>
          <w:sz w:val="28"/>
          <w:szCs w:val="28"/>
          <w:rtl/>
        </w:rPr>
        <w:t xml:space="preserve"> ساله ششم توسعه اقتصادی، اجتماعی و فرهنگی جمهوری اسلامی ایران مبنی بر تعیین مناطق عملیاتی دفاع مقدس، به منظور جبران عقب ماندگی استانهای مذکور تا پایان سال اول اجرای قانون به سازمان، مناطق جنگی (که مورد تصرف یا بشدت در حال بمباران و گلوله باران بوده) و امنیتی درگیر در دوران دفاع مقدس( که حضور ضد انقلاب و درگیری های مداوم در این مناطق موجب عقب ماندگیهای آنها شده است) یشرح ذیل اعلام می گردد</w:t>
      </w:r>
      <w:r w:rsidRPr="00A92072">
        <w:rPr>
          <w:rFonts w:ascii="Times New Roman" w:eastAsia="Times New Roman" w:hAnsi="Times New Roman" w:cs="Times New Roman"/>
          <w:sz w:val="28"/>
          <w:szCs w:val="28"/>
        </w:rPr>
        <w:t>:</w:t>
      </w:r>
    </w:p>
    <w:p w:rsidR="00A92072" w:rsidRPr="00A92072" w:rsidRDefault="00A92072" w:rsidP="00A92072">
      <w:p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b/>
          <w:bCs/>
          <w:sz w:val="28"/>
          <w:szCs w:val="28"/>
          <w:rtl/>
          <w:lang w:bidi="fa-IR"/>
        </w:rPr>
        <w:t>۱</w:t>
      </w:r>
      <w:r w:rsidRPr="00A92072">
        <w:rPr>
          <w:rFonts w:ascii="Times New Roman" w:eastAsia="Times New Roman" w:hAnsi="Times New Roman" w:cs="Times New Roman"/>
          <w:b/>
          <w:bCs/>
          <w:sz w:val="28"/>
          <w:szCs w:val="28"/>
        </w:rPr>
        <w:t xml:space="preserve">- </w:t>
      </w:r>
      <w:r w:rsidRPr="00A92072">
        <w:rPr>
          <w:rFonts w:ascii="Times New Roman" w:eastAsia="Times New Roman" w:hAnsi="Times New Roman" w:cs="Times New Roman"/>
          <w:b/>
          <w:bCs/>
          <w:sz w:val="28"/>
          <w:szCs w:val="28"/>
          <w:rtl/>
        </w:rPr>
        <w:t>مناطق جنگی در دوران دفاع مقدس</w:t>
      </w:r>
      <w:r w:rsidRPr="00A92072">
        <w:rPr>
          <w:rFonts w:ascii="Times New Roman" w:eastAsia="Times New Roman" w:hAnsi="Times New Roman" w:cs="Times New Roman"/>
          <w:b/>
          <w:bCs/>
          <w:sz w:val="28"/>
          <w:szCs w:val="28"/>
        </w:rPr>
        <w:t>:</w:t>
      </w:r>
    </w:p>
    <w:p w:rsidR="00A92072" w:rsidRPr="00A92072" w:rsidRDefault="00A92072" w:rsidP="00A92072">
      <w:pPr>
        <w:numPr>
          <w:ilvl w:val="0"/>
          <w:numId w:val="2"/>
        </w:num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استان آذربایجان غربی: محدوده مناطق (اشنویه، پیرانشهر و سردشت</w:t>
      </w:r>
      <w:r w:rsidRPr="00A92072">
        <w:rPr>
          <w:rFonts w:ascii="Times New Roman" w:eastAsia="Times New Roman" w:hAnsi="Times New Roman" w:cs="Times New Roman"/>
          <w:sz w:val="28"/>
          <w:szCs w:val="28"/>
        </w:rPr>
        <w:t>)</w:t>
      </w:r>
    </w:p>
    <w:p w:rsidR="00A92072" w:rsidRPr="00A92072" w:rsidRDefault="00A92072" w:rsidP="00A92072">
      <w:pPr>
        <w:numPr>
          <w:ilvl w:val="0"/>
          <w:numId w:val="2"/>
        </w:num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استان کردستان محدوده مناطق (بانه، مریوان و سرآباد</w:t>
      </w:r>
      <w:r w:rsidRPr="00A92072">
        <w:rPr>
          <w:rFonts w:ascii="Times New Roman" w:eastAsia="Times New Roman" w:hAnsi="Times New Roman" w:cs="Times New Roman"/>
          <w:sz w:val="28"/>
          <w:szCs w:val="28"/>
        </w:rPr>
        <w:t>)</w:t>
      </w:r>
    </w:p>
    <w:p w:rsidR="00A92072" w:rsidRPr="00A92072" w:rsidRDefault="00A92072" w:rsidP="00A92072">
      <w:pPr>
        <w:numPr>
          <w:ilvl w:val="0"/>
          <w:numId w:val="2"/>
        </w:num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استان کرمانشاه محدوده مناطق (اورامانات، پاوه، نوسود، باینگان، تازه آباد، ازگه، سرپل ذهاب و قصرشیرین</w:t>
      </w:r>
      <w:r w:rsidRPr="00A92072">
        <w:rPr>
          <w:rFonts w:ascii="Times New Roman" w:eastAsia="Times New Roman" w:hAnsi="Times New Roman" w:cs="Times New Roman"/>
          <w:sz w:val="28"/>
          <w:szCs w:val="28"/>
        </w:rPr>
        <w:t>)</w:t>
      </w:r>
    </w:p>
    <w:p w:rsidR="00A92072" w:rsidRPr="00A92072" w:rsidRDefault="00A92072" w:rsidP="00A92072">
      <w:pPr>
        <w:numPr>
          <w:ilvl w:val="0"/>
          <w:numId w:val="2"/>
        </w:num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استان ایلام محدوده مناطق (ایوان، ابلام، صالح آباد، ملک شاهی، مهران، دهلران و موسیان</w:t>
      </w:r>
      <w:r w:rsidRPr="00A92072">
        <w:rPr>
          <w:rFonts w:ascii="Times New Roman" w:eastAsia="Times New Roman" w:hAnsi="Times New Roman" w:cs="Times New Roman"/>
          <w:sz w:val="28"/>
          <w:szCs w:val="28"/>
        </w:rPr>
        <w:t>)</w:t>
      </w:r>
    </w:p>
    <w:p w:rsidR="00A92072" w:rsidRPr="00A92072" w:rsidRDefault="00A92072" w:rsidP="00A92072">
      <w:pPr>
        <w:numPr>
          <w:ilvl w:val="0"/>
          <w:numId w:val="2"/>
        </w:num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استان خوزستان محدوده مناطق (اندیمشک، دزفول، شوش، هفت تپه، سوسنگرد، بستان، حمیدیه، هویزه، اهواز، خرمشهر، آبادان، شادگان، اروندکنار، بندرامام خمینی، ماهشهر و هندیجان</w:t>
      </w:r>
      <w:r w:rsidRPr="00A92072">
        <w:rPr>
          <w:rFonts w:ascii="Times New Roman" w:eastAsia="Times New Roman" w:hAnsi="Times New Roman" w:cs="Times New Roman"/>
          <w:sz w:val="28"/>
          <w:szCs w:val="28"/>
        </w:rPr>
        <w:t>)</w:t>
      </w:r>
    </w:p>
    <w:p w:rsidR="00A92072" w:rsidRPr="00A92072" w:rsidRDefault="00A92072" w:rsidP="00A92072">
      <w:pPr>
        <w:numPr>
          <w:ilvl w:val="0"/>
          <w:numId w:val="2"/>
        </w:num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استان بوشهر محدوده مناطق (بندر دیلم، بندر گناوه، جزیره خارک و بندر بوشهر</w:t>
      </w:r>
      <w:r w:rsidRPr="00A92072">
        <w:rPr>
          <w:rFonts w:ascii="Times New Roman" w:eastAsia="Times New Roman" w:hAnsi="Times New Roman" w:cs="Times New Roman"/>
          <w:sz w:val="28"/>
          <w:szCs w:val="28"/>
        </w:rPr>
        <w:t>)</w:t>
      </w:r>
    </w:p>
    <w:p w:rsidR="00A92072" w:rsidRPr="00A92072" w:rsidRDefault="00A92072" w:rsidP="00A92072">
      <w:p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b/>
          <w:bCs/>
          <w:sz w:val="28"/>
          <w:szCs w:val="28"/>
          <w:rtl/>
          <w:lang w:bidi="fa-IR"/>
        </w:rPr>
        <w:t>۲</w:t>
      </w:r>
      <w:r w:rsidRPr="00A92072">
        <w:rPr>
          <w:rFonts w:ascii="Times New Roman" w:eastAsia="Times New Roman" w:hAnsi="Times New Roman" w:cs="Times New Roman"/>
          <w:b/>
          <w:bCs/>
          <w:sz w:val="28"/>
          <w:szCs w:val="28"/>
        </w:rPr>
        <w:t xml:space="preserve">- </w:t>
      </w:r>
      <w:r w:rsidRPr="00A92072">
        <w:rPr>
          <w:rFonts w:ascii="Times New Roman" w:eastAsia="Times New Roman" w:hAnsi="Times New Roman" w:cs="Times New Roman"/>
          <w:b/>
          <w:bCs/>
          <w:sz w:val="28"/>
          <w:szCs w:val="28"/>
          <w:rtl/>
        </w:rPr>
        <w:t>مناطق امنیتی درگیر در دوران دفاع مقدس</w:t>
      </w:r>
    </w:p>
    <w:p w:rsidR="00A92072" w:rsidRPr="00A92072" w:rsidRDefault="00A92072" w:rsidP="00A92072">
      <w:pPr>
        <w:numPr>
          <w:ilvl w:val="0"/>
          <w:numId w:val="3"/>
        </w:num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استان آذربایجان غربی محدوده مناطق (سلماس، ارومیه، اشنویه، نقده، مهاباد، پیرانشهر، شاهین دژ، بوکان، سردشت و تکاب</w:t>
      </w:r>
      <w:r w:rsidRPr="00A92072">
        <w:rPr>
          <w:rFonts w:ascii="Times New Roman" w:eastAsia="Times New Roman" w:hAnsi="Times New Roman" w:cs="Times New Roman"/>
          <w:sz w:val="28"/>
          <w:szCs w:val="28"/>
        </w:rPr>
        <w:t>)</w:t>
      </w:r>
    </w:p>
    <w:p w:rsidR="00A92072" w:rsidRPr="00A92072" w:rsidRDefault="00A92072" w:rsidP="00A92072">
      <w:pPr>
        <w:numPr>
          <w:ilvl w:val="0"/>
          <w:numId w:val="3"/>
        </w:num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استان کردستان محدوده مناطق ( سقز، بانه، دیواندره، سنندج، کامیاران، مریوان و سروآباد</w:t>
      </w:r>
      <w:r w:rsidRPr="00A92072">
        <w:rPr>
          <w:rFonts w:ascii="Times New Roman" w:eastAsia="Times New Roman" w:hAnsi="Times New Roman" w:cs="Times New Roman"/>
          <w:sz w:val="28"/>
          <w:szCs w:val="28"/>
        </w:rPr>
        <w:t>)</w:t>
      </w:r>
    </w:p>
    <w:p w:rsidR="00A92072" w:rsidRPr="00A92072" w:rsidRDefault="00A92072" w:rsidP="00A92072">
      <w:pPr>
        <w:numPr>
          <w:ilvl w:val="0"/>
          <w:numId w:val="3"/>
        </w:num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استان کرمانشاه محدوده مناطق</w:t>
      </w:r>
      <w:r w:rsidRPr="00A92072">
        <w:rPr>
          <w:rFonts w:ascii="Times New Roman" w:eastAsia="Times New Roman" w:hAnsi="Times New Roman" w:cs="Times New Roman"/>
          <w:sz w:val="28"/>
          <w:szCs w:val="28"/>
        </w:rPr>
        <w:t xml:space="preserve"> ( </w:t>
      </w:r>
      <w:r w:rsidRPr="00A92072">
        <w:rPr>
          <w:rFonts w:ascii="Times New Roman" w:eastAsia="Times New Roman" w:hAnsi="Times New Roman" w:cs="Times New Roman"/>
          <w:sz w:val="28"/>
          <w:szCs w:val="28"/>
          <w:rtl/>
        </w:rPr>
        <w:t>اورامانات، نوسود، پاوه، جوانرود، تازه آباد، ازگله، کرند، گهواره، روانسر، پاپنگان، کوزران و اسلا آباد برای یک ماه تهاجم منافقین در عملیات مرصاد</w:t>
      </w:r>
      <w:r w:rsidRPr="00A92072">
        <w:rPr>
          <w:rFonts w:ascii="Times New Roman" w:eastAsia="Times New Roman" w:hAnsi="Times New Roman" w:cs="Times New Roman"/>
          <w:sz w:val="28"/>
          <w:szCs w:val="28"/>
        </w:rPr>
        <w:t>)</w:t>
      </w:r>
    </w:p>
    <w:p w:rsidR="00A92072" w:rsidRPr="00A92072" w:rsidRDefault="00A92072" w:rsidP="00A92072">
      <w:pPr>
        <w:numPr>
          <w:ilvl w:val="0"/>
          <w:numId w:val="3"/>
        </w:num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استان سیستان و بلوچستان محدوده مناطق ( زابل، زاهدان، پیشین، سراوان، جالق، خاش، ایرانشهر، پزمان، نیک شهر و نصرت آباد</w:t>
      </w:r>
      <w:r w:rsidRPr="00A92072">
        <w:rPr>
          <w:rFonts w:ascii="Times New Roman" w:eastAsia="Times New Roman" w:hAnsi="Times New Roman" w:cs="Times New Roman"/>
          <w:sz w:val="28"/>
          <w:szCs w:val="28"/>
        </w:rPr>
        <w:t>)</w:t>
      </w:r>
    </w:p>
    <w:p w:rsidR="00A92072" w:rsidRPr="00A92072" w:rsidRDefault="00A92072" w:rsidP="00A92072">
      <w:pPr>
        <w:bidi/>
        <w:spacing w:before="100" w:beforeAutospacing="1" w:after="100" w:afterAutospacing="1" w:line="240" w:lineRule="auto"/>
        <w:jc w:val="both"/>
        <w:rPr>
          <w:rFonts w:ascii="Times New Roman" w:eastAsia="Times New Roman" w:hAnsi="Times New Roman" w:cs="Times New Roman"/>
          <w:sz w:val="28"/>
          <w:szCs w:val="28"/>
        </w:rPr>
      </w:pPr>
      <w:r w:rsidRPr="00A92072">
        <w:rPr>
          <w:rFonts w:ascii="Times New Roman" w:eastAsia="Times New Roman" w:hAnsi="Times New Roman" w:cs="Times New Roman"/>
          <w:sz w:val="28"/>
          <w:szCs w:val="28"/>
          <w:rtl/>
        </w:rPr>
        <w:t xml:space="preserve">در خصوص بندهای ث و ح ماده مذکور مراتب </w:t>
      </w:r>
      <w:hyperlink r:id="rId6" w:history="1">
        <w:r w:rsidRPr="00A92072">
          <w:rPr>
            <w:rFonts w:ascii="Times New Roman" w:eastAsia="Times New Roman" w:hAnsi="Times New Roman" w:cs="Times New Roman"/>
            <w:color w:val="FF6600"/>
            <w:sz w:val="28"/>
            <w:szCs w:val="28"/>
            <w:u w:val="single"/>
            <w:rtl/>
          </w:rPr>
          <w:t xml:space="preserve">طی نامه شماره </w:t>
        </w:r>
        <w:r w:rsidRPr="00A92072">
          <w:rPr>
            <w:rFonts w:ascii="Times New Roman" w:eastAsia="Times New Roman" w:hAnsi="Times New Roman" w:cs="Times New Roman"/>
            <w:color w:val="FF6600"/>
            <w:sz w:val="28"/>
            <w:szCs w:val="28"/>
            <w:u w:val="single"/>
            <w:rtl/>
            <w:lang w:bidi="fa-IR"/>
          </w:rPr>
          <w:t>۲۲۱۳۱۴/۲/۱۳/۹۶۱۹۱۹</w:t>
        </w:r>
        <w:r w:rsidRPr="00A92072">
          <w:rPr>
            <w:rFonts w:ascii="Times New Roman" w:eastAsia="Times New Roman" w:hAnsi="Times New Roman" w:cs="Times New Roman"/>
            <w:color w:val="FF6600"/>
            <w:sz w:val="28"/>
            <w:szCs w:val="28"/>
            <w:u w:val="single"/>
            <w:rtl/>
          </w:rPr>
          <w:t xml:space="preserve"> مورخ </w:t>
        </w:r>
        <w:r w:rsidRPr="00A92072">
          <w:rPr>
            <w:rFonts w:ascii="Times New Roman" w:eastAsia="Times New Roman" w:hAnsi="Times New Roman" w:cs="Times New Roman"/>
            <w:color w:val="FF6600"/>
            <w:sz w:val="28"/>
            <w:szCs w:val="28"/>
            <w:u w:val="single"/>
            <w:rtl/>
            <w:lang w:bidi="fa-IR"/>
          </w:rPr>
          <w:t>۹۶/۲/۴</w:t>
        </w:r>
        <w:r w:rsidRPr="00A92072">
          <w:rPr>
            <w:rFonts w:ascii="Times New Roman" w:eastAsia="Times New Roman" w:hAnsi="Times New Roman" w:cs="Times New Roman"/>
            <w:color w:val="FF6600"/>
            <w:sz w:val="28"/>
            <w:szCs w:val="28"/>
            <w:u w:val="single"/>
            <w:rtl/>
          </w:rPr>
          <w:t xml:space="preserve"> موضوع ضوابط تعیین تکلیف جبهه کارکنان دولت</w:t>
        </w:r>
      </w:hyperlink>
      <w:r w:rsidRPr="00A92072">
        <w:rPr>
          <w:rFonts w:ascii="Times New Roman" w:eastAsia="Times New Roman" w:hAnsi="Times New Roman" w:cs="Times New Roman"/>
          <w:sz w:val="28"/>
          <w:szCs w:val="28"/>
        </w:rPr>
        <w:t xml:space="preserve"> </w:t>
      </w:r>
      <w:r w:rsidRPr="00A92072">
        <w:rPr>
          <w:rFonts w:ascii="Times New Roman" w:eastAsia="Times New Roman" w:hAnsi="Times New Roman" w:cs="Times New Roman"/>
          <w:sz w:val="28"/>
          <w:szCs w:val="28"/>
          <w:rtl/>
        </w:rPr>
        <w:t>به معاون محترم توسعه مدیریت سرمایه انسانی ریاست جمهوری برای اطلاع رسانی به وزارتخانه ها و دستگاهها اعلام گردیده است</w:t>
      </w:r>
      <w:r w:rsidRPr="00A92072">
        <w:rPr>
          <w:rFonts w:ascii="Times New Roman" w:eastAsia="Times New Roman" w:hAnsi="Times New Roman" w:cs="Times New Roman"/>
          <w:sz w:val="28"/>
          <w:szCs w:val="28"/>
        </w:rPr>
        <w:t>.</w:t>
      </w:r>
    </w:p>
    <w:p w:rsidR="00A92072" w:rsidRPr="00A92072" w:rsidRDefault="00A92072" w:rsidP="00A92072">
      <w:pPr>
        <w:bidi/>
        <w:spacing w:before="100" w:beforeAutospacing="1" w:after="100" w:afterAutospacing="1" w:line="240" w:lineRule="auto"/>
        <w:rPr>
          <w:rFonts w:ascii="Times New Roman" w:eastAsia="Times New Roman" w:hAnsi="Times New Roman" w:cs="Times New Roman"/>
          <w:sz w:val="32"/>
          <w:szCs w:val="32"/>
        </w:rPr>
      </w:pPr>
      <w:r w:rsidRPr="00A92072">
        <w:rPr>
          <w:rFonts w:ascii="Times New Roman" w:eastAsia="Times New Roman" w:hAnsi="Times New Roman" w:cs="Times New Roman"/>
          <w:sz w:val="32"/>
          <w:szCs w:val="32"/>
          <w:rtl/>
        </w:rPr>
        <w:t>رئیس ستاد کل نیروهای مسلح</w:t>
      </w:r>
    </w:p>
    <w:p w:rsidR="00A92072" w:rsidRPr="00A92072" w:rsidRDefault="00A92072" w:rsidP="00A92072">
      <w:pPr>
        <w:bidi/>
        <w:spacing w:before="100" w:beforeAutospacing="1" w:after="100" w:afterAutospacing="1" w:line="240" w:lineRule="auto"/>
        <w:rPr>
          <w:rFonts w:ascii="Times New Roman" w:eastAsia="Times New Roman" w:hAnsi="Times New Roman" w:cs="Times New Roman"/>
          <w:sz w:val="32"/>
          <w:szCs w:val="32"/>
        </w:rPr>
      </w:pPr>
      <w:r w:rsidRPr="00A92072">
        <w:rPr>
          <w:rFonts w:ascii="Times New Roman" w:eastAsia="Times New Roman" w:hAnsi="Times New Roman" w:cs="Times New Roman"/>
          <w:sz w:val="32"/>
          <w:szCs w:val="32"/>
          <w:rtl/>
        </w:rPr>
        <w:t>سرلشکر پاسدار محمد باقری</w:t>
      </w:r>
    </w:p>
    <w:p w:rsidR="00E83E7D" w:rsidRPr="00A92072" w:rsidRDefault="00E83E7D" w:rsidP="00A92072">
      <w:pPr>
        <w:bidi/>
        <w:rPr>
          <w:sz w:val="28"/>
          <w:szCs w:val="28"/>
        </w:rPr>
      </w:pPr>
    </w:p>
    <w:sectPr w:rsidR="00E83E7D" w:rsidRPr="00A92072" w:rsidSect="00A92072">
      <w:pgSz w:w="12240" w:h="15840"/>
      <w:pgMar w:top="270" w:right="45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413D"/>
    <w:multiLevelType w:val="multilevel"/>
    <w:tmpl w:val="1294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277A5"/>
    <w:multiLevelType w:val="multilevel"/>
    <w:tmpl w:val="70CE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429B1"/>
    <w:multiLevelType w:val="multilevel"/>
    <w:tmpl w:val="64AA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072"/>
    <w:rsid w:val="00A92072"/>
    <w:rsid w:val="00E83E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2072"/>
    <w:rPr>
      <w:b/>
      <w:bCs/>
    </w:rPr>
  </w:style>
  <w:style w:type="character" w:styleId="Hyperlink">
    <w:name w:val="Hyperlink"/>
    <w:basedOn w:val="DefaultParagraphFont"/>
    <w:uiPriority w:val="99"/>
    <w:semiHidden/>
    <w:unhideWhenUsed/>
    <w:rsid w:val="00A92072"/>
    <w:rPr>
      <w:color w:val="0000FF"/>
      <w:u w:val="single"/>
    </w:rPr>
  </w:style>
  <w:style w:type="paragraph" w:styleId="NormalWeb">
    <w:name w:val="Normal (Web)"/>
    <w:basedOn w:val="Normal"/>
    <w:uiPriority w:val="99"/>
    <w:semiHidden/>
    <w:unhideWhenUsed/>
    <w:rsid w:val="00A92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ext">
    <w:name w:val="h-text"/>
    <w:basedOn w:val="DefaultParagraphFont"/>
    <w:rsid w:val="00A92072"/>
  </w:style>
  <w:style w:type="paragraph" w:customStyle="1" w:styleId="title">
    <w:name w:val="title"/>
    <w:basedOn w:val="Normal"/>
    <w:rsid w:val="00A92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A92072"/>
  </w:style>
</w:styles>
</file>

<file path=word/webSettings.xml><?xml version="1.0" encoding="utf-8"?>
<w:webSettings xmlns:r="http://schemas.openxmlformats.org/officeDocument/2006/relationships" xmlns:w="http://schemas.openxmlformats.org/wordprocessingml/2006/main">
  <w:divs>
    <w:div w:id="877667121">
      <w:bodyDiv w:val="1"/>
      <w:marLeft w:val="0"/>
      <w:marRight w:val="0"/>
      <w:marTop w:val="0"/>
      <w:marBottom w:val="0"/>
      <w:divBdr>
        <w:top w:val="none" w:sz="0" w:space="0" w:color="auto"/>
        <w:left w:val="none" w:sz="0" w:space="0" w:color="auto"/>
        <w:bottom w:val="none" w:sz="0" w:space="0" w:color="auto"/>
        <w:right w:val="none" w:sz="0" w:space="0" w:color="auto"/>
      </w:divBdr>
      <w:divsChild>
        <w:div w:id="1621911216">
          <w:marLeft w:val="0"/>
          <w:marRight w:val="0"/>
          <w:marTop w:val="0"/>
          <w:marBottom w:val="0"/>
          <w:divBdr>
            <w:top w:val="none" w:sz="0" w:space="0" w:color="auto"/>
            <w:left w:val="none" w:sz="0" w:space="0" w:color="auto"/>
            <w:bottom w:val="none" w:sz="0" w:space="0" w:color="auto"/>
            <w:right w:val="none" w:sz="0" w:space="0" w:color="auto"/>
          </w:divBdr>
          <w:divsChild>
            <w:div w:id="790786170">
              <w:marLeft w:val="0"/>
              <w:marRight w:val="0"/>
              <w:marTop w:val="0"/>
              <w:marBottom w:val="0"/>
              <w:divBdr>
                <w:top w:val="none" w:sz="0" w:space="0" w:color="auto"/>
                <w:left w:val="none" w:sz="0" w:space="0" w:color="auto"/>
                <w:bottom w:val="none" w:sz="0" w:space="0" w:color="auto"/>
                <w:right w:val="none" w:sz="0" w:space="0" w:color="auto"/>
              </w:divBdr>
            </w:div>
            <w:div w:id="1407605185">
              <w:marLeft w:val="0"/>
              <w:marRight w:val="0"/>
              <w:marTop w:val="0"/>
              <w:marBottom w:val="0"/>
              <w:divBdr>
                <w:top w:val="none" w:sz="0" w:space="0" w:color="auto"/>
                <w:left w:val="none" w:sz="0" w:space="0" w:color="auto"/>
                <w:bottom w:val="none" w:sz="0" w:space="0" w:color="auto"/>
                <w:right w:val="none" w:sz="0" w:space="0" w:color="auto"/>
              </w:divBdr>
              <w:divsChild>
                <w:div w:id="1839692961">
                  <w:marLeft w:val="0"/>
                  <w:marRight w:val="0"/>
                  <w:marTop w:val="0"/>
                  <w:marBottom w:val="0"/>
                  <w:divBdr>
                    <w:top w:val="none" w:sz="0" w:space="0" w:color="auto"/>
                    <w:left w:val="none" w:sz="0" w:space="0" w:color="auto"/>
                    <w:bottom w:val="none" w:sz="0" w:space="0" w:color="auto"/>
                    <w:right w:val="none" w:sz="0" w:space="0" w:color="auto"/>
                  </w:divBdr>
                  <w:divsChild>
                    <w:div w:id="1172111696">
                      <w:marLeft w:val="0"/>
                      <w:marRight w:val="0"/>
                      <w:marTop w:val="0"/>
                      <w:marBottom w:val="0"/>
                      <w:divBdr>
                        <w:top w:val="none" w:sz="0" w:space="0" w:color="auto"/>
                        <w:left w:val="none" w:sz="0" w:space="0" w:color="auto"/>
                        <w:bottom w:val="none" w:sz="0" w:space="0" w:color="auto"/>
                        <w:right w:val="none" w:sz="0" w:space="0" w:color="auto"/>
                      </w:divBdr>
                      <w:divsChild>
                        <w:div w:id="29838503">
                          <w:marLeft w:val="0"/>
                          <w:marRight w:val="0"/>
                          <w:marTop w:val="0"/>
                          <w:marBottom w:val="0"/>
                          <w:divBdr>
                            <w:top w:val="none" w:sz="0" w:space="0" w:color="auto"/>
                            <w:left w:val="none" w:sz="0" w:space="0" w:color="auto"/>
                            <w:bottom w:val="none" w:sz="0" w:space="0" w:color="auto"/>
                            <w:right w:val="none" w:sz="0" w:space="0" w:color="auto"/>
                          </w:divBdr>
                          <w:divsChild>
                            <w:div w:id="3826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6337">
                      <w:marLeft w:val="0"/>
                      <w:marRight w:val="0"/>
                      <w:marTop w:val="0"/>
                      <w:marBottom w:val="0"/>
                      <w:divBdr>
                        <w:top w:val="none" w:sz="0" w:space="0" w:color="auto"/>
                        <w:left w:val="none" w:sz="0" w:space="0" w:color="auto"/>
                        <w:bottom w:val="none" w:sz="0" w:space="0" w:color="auto"/>
                        <w:right w:val="none" w:sz="0" w:space="0" w:color="auto"/>
                      </w:divBdr>
                      <w:divsChild>
                        <w:div w:id="1819683349">
                          <w:marLeft w:val="0"/>
                          <w:marRight w:val="0"/>
                          <w:marTop w:val="0"/>
                          <w:marBottom w:val="0"/>
                          <w:divBdr>
                            <w:top w:val="none" w:sz="0" w:space="0" w:color="auto"/>
                            <w:left w:val="none" w:sz="0" w:space="0" w:color="auto"/>
                            <w:bottom w:val="none" w:sz="0" w:space="0" w:color="auto"/>
                            <w:right w:val="none" w:sz="0" w:space="0" w:color="auto"/>
                          </w:divBdr>
                          <w:divsChild>
                            <w:div w:id="1581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1075">
                      <w:marLeft w:val="0"/>
                      <w:marRight w:val="0"/>
                      <w:marTop w:val="0"/>
                      <w:marBottom w:val="0"/>
                      <w:divBdr>
                        <w:top w:val="none" w:sz="0" w:space="0" w:color="auto"/>
                        <w:left w:val="none" w:sz="0" w:space="0" w:color="auto"/>
                        <w:bottom w:val="none" w:sz="0" w:space="0" w:color="auto"/>
                        <w:right w:val="none" w:sz="0" w:space="0" w:color="auto"/>
                      </w:divBdr>
                      <w:divsChild>
                        <w:div w:id="2006742696">
                          <w:marLeft w:val="0"/>
                          <w:marRight w:val="0"/>
                          <w:marTop w:val="0"/>
                          <w:marBottom w:val="0"/>
                          <w:divBdr>
                            <w:top w:val="none" w:sz="0" w:space="0" w:color="auto"/>
                            <w:left w:val="none" w:sz="0" w:space="0" w:color="auto"/>
                            <w:bottom w:val="none" w:sz="0" w:space="0" w:color="auto"/>
                            <w:right w:val="none" w:sz="0" w:space="0" w:color="auto"/>
                          </w:divBdr>
                          <w:divsChild>
                            <w:div w:id="13311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mrade.ir/circular-rules-determining-duties-staff-government-awarding-sacrifice-privileges/" TargetMode="External"/><Relationship Id="rId5" Type="http://schemas.openxmlformats.org/officeDocument/2006/relationships/hyperlink" Target="https://hamrade.ir/wp-content/uploads/2018/09/mjangi@hamrad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2018-12-02T12:07:00Z</dcterms:created>
  <dcterms:modified xsi:type="dcterms:W3CDTF">2018-12-02T12:11:00Z</dcterms:modified>
</cp:coreProperties>
</file>